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24.08.2022 N 762</w:t>
              <w:br/>
              <w:t xml:space="preserve">(ред. от 20.12.2022)</w:t>
              <w:br/>
              <w:t xml:space="preserve">"Об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br/>
              <w:t xml:space="preserve">(Зарегистрировано в Минюсте России 21.09.2022 N 70167)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21 сентября 2022 г. N 70167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24 августа 2022 г. N 762</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И ОСУЩЕСТВЛЕНИЯ ОБРАЗОВАТЕЛЬНОЙ ДЕЯТЕЛЬНОСТИ</w:t>
      </w:r>
    </w:p>
    <w:p>
      <w:pPr>
        <w:pStyle w:val="2"/>
        <w:jc w:val="center"/>
      </w:pPr>
      <w:r>
        <w:rPr>
          <w:sz w:val="20"/>
        </w:rPr>
        <w:t xml:space="preserve">ПО ОБРАЗОВАТЕЛЬНЫМ ПРОГРАММАМ СРЕДНЕГО</w:t>
      </w:r>
    </w:p>
    <w:p>
      <w:pPr>
        <w:pStyle w:val="2"/>
        <w:jc w:val="center"/>
      </w:pPr>
      <w:r>
        <w:rPr>
          <w:sz w:val="20"/>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от 20.12.2022 N 1152 &quot;О внесении изменения в пункт 17 Порядка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истерства просвещения Российской Федерации от 24 августа 2022 г. N 762&quot; (Зарегистрировано в Минюсте России 30.12.2022 N 71931) {КонсультантПлюс}">
              <w:r>
                <w:rPr>
                  <w:sz w:val="20"/>
                  <w:color w:val="0000ff"/>
                </w:rPr>
                <w:t xml:space="preserve">Приказа</w:t>
              </w:r>
            </w:hyperlink>
            <w:r>
              <w:rPr>
                <w:sz w:val="20"/>
                <w:color w:val="392c69"/>
              </w:rPr>
              <w:t xml:space="preserve"> Минпросвещения России от 20.12.2022 N 1152)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риказ Минобрнауки России от 14.06.2013 N 464 (ред. от 28.08.2020) &quo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quot; (Зарегистрировано в Минюсте России 30.07.2013 N 292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N 29200);</w:t>
      </w:r>
    </w:p>
    <w:p>
      <w:pPr>
        <w:pStyle w:val="0"/>
        <w:spacing w:before="200" w:lineRule="auto"/>
        <w:ind w:firstLine="540"/>
        <w:jc w:val="both"/>
      </w:pPr>
      <w:hyperlink w:history="0" r:id="rId13" w:tooltip="Приказ Минобрнауки России от 22.01.2014 N 31 &quot;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quot; (Зарегистрировано в Минюсте России 07.03.2014 N 3153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31 "О внесении изменения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7 марта 2014 г., регистрационный N 31539);</w:t>
      </w:r>
    </w:p>
    <w:p>
      <w:pPr>
        <w:pStyle w:val="0"/>
        <w:spacing w:before="200" w:lineRule="auto"/>
        <w:ind w:firstLine="540"/>
        <w:jc w:val="both"/>
      </w:pPr>
      <w:hyperlink w:history="0" r:id="rId14" w:tooltip="Приказ Минобрнауки России от 15.12.2014 N 1580 &quot;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quot; (Зарегистрировано в Минюсте России 15.01.2015 N 3554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15 декабря 2014 г. N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15 января 2015 г., регистрационный N 35545);</w:t>
      </w:r>
    </w:p>
    <w:p>
      <w:pPr>
        <w:pStyle w:val="0"/>
        <w:spacing w:before="200" w:lineRule="auto"/>
        <w:ind w:firstLine="540"/>
        <w:jc w:val="both"/>
      </w:pPr>
      <w:hyperlink w:history="0" r:id="rId15" w:tooltip="Приказ Минпросвещения России от 28.08.2020 N 441 &quot;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quot; (Зарегистрировано в Минюсте России 11.09.2020 N 59771)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28 августа 2020 г. N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N 464" (зарегистрирован Министерством юстиции Российской Федерации 11 сентября 2020 г., регистрационный N 59771).</w:t>
      </w:r>
    </w:p>
    <w:p>
      <w:pPr>
        <w:pStyle w:val="0"/>
        <w:spacing w:before="200" w:lineRule="auto"/>
        <w:ind w:firstLine="540"/>
        <w:jc w:val="both"/>
      </w:pPr>
      <w:r>
        <w:rPr>
          <w:sz w:val="20"/>
        </w:rPr>
        <w:t xml:space="preserve">3. Настоящий приказ вступает в силу с 1 марта 2023 г. и действует до 1 марта 2029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24 августа 2022 г. N 762</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ОРГАНИЗАЦИИ И ОСУЩЕСТВЛЕНИЯ ОБРАЗОВАТЕЛЬНОЙ ДЕЯТЕЛЬНОСТИ</w:t>
      </w:r>
    </w:p>
    <w:p>
      <w:pPr>
        <w:pStyle w:val="2"/>
        <w:jc w:val="center"/>
      </w:pPr>
      <w:r>
        <w:rPr>
          <w:sz w:val="20"/>
        </w:rPr>
        <w:t xml:space="preserve">ПО ОБРАЗОВАТЕЛЬНЫМ ПРОГРАММАМ СРЕДНЕГО</w:t>
      </w:r>
    </w:p>
    <w:p>
      <w:pPr>
        <w:pStyle w:val="2"/>
        <w:jc w:val="center"/>
      </w:pPr>
      <w:r>
        <w:rPr>
          <w:sz w:val="20"/>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Минпросвещения России от 20.12.2022 N 1152 &quot;О внесении изменения в пункт 17 Порядка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истерства просвещения Российской Федерации от 24 августа 2022 г. N 762&quot; (Зарегистрировано в Минюсте России 30.12.2022 N 71931) {КонсультантПлюс}">
              <w:r>
                <w:rPr>
                  <w:sz w:val="20"/>
                  <w:color w:val="0000ff"/>
                </w:rPr>
                <w:t xml:space="preserve">Приказа</w:t>
              </w:r>
            </w:hyperlink>
            <w:r>
              <w:rPr>
                <w:sz w:val="20"/>
                <w:color w:val="392c69"/>
              </w:rPr>
              <w:t xml:space="preserve"> Минпросвещения России от 20.12.2022 N 1152)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организации и осуществления образовательной деятельности по образовательным программам среднего профессионального образования (далее - Порядок)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обучающихся с ограниченными возможностями здоровья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2. Порядок является обязательным для образовательных организаций, реализующих образовательные программы среднего профессионального образования (далее - образовательные организации).</w:t>
      </w:r>
    </w:p>
    <w:p>
      <w:pPr>
        <w:pStyle w:val="0"/>
        <w:jc w:val="both"/>
      </w:pPr>
      <w:r>
        <w:rPr>
          <w:sz w:val="20"/>
        </w:rPr>
      </w:r>
    </w:p>
    <w:p>
      <w:pPr>
        <w:pStyle w:val="2"/>
        <w:outlineLvl w:val="1"/>
        <w:jc w:val="center"/>
      </w:pPr>
      <w:r>
        <w:rPr>
          <w:sz w:val="20"/>
        </w:rPr>
        <w:t xml:space="preserve">II. Организация и осуществление образовательной деятельности</w:t>
      </w:r>
    </w:p>
    <w:p>
      <w:pPr>
        <w:pStyle w:val="0"/>
        <w:jc w:val="both"/>
      </w:pPr>
      <w:r>
        <w:rPr>
          <w:sz w:val="20"/>
        </w:rPr>
      </w:r>
    </w:p>
    <w:p>
      <w:pPr>
        <w:pStyle w:val="0"/>
        <w:ind w:firstLine="540"/>
        <w:jc w:val="both"/>
      </w:pPr>
      <w:r>
        <w:rPr>
          <w:sz w:val="20"/>
        </w:rPr>
        <w:t xml:space="preserve">3. Среднее профессиональное образование может быть получено в образовательных организациях, а также вне образовательных организаций.</w:t>
      </w:r>
    </w:p>
    <w:p>
      <w:pPr>
        <w:pStyle w:val="0"/>
        <w:spacing w:before="200" w:lineRule="auto"/>
        <w:ind w:firstLine="540"/>
        <w:jc w:val="both"/>
      </w:pPr>
      <w:r>
        <w:rPr>
          <w:sz w:val="20"/>
        </w:rPr>
        <w:t xml:space="preserve">4.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должно обеспечивать получение квалификации.</w:t>
      </w:r>
    </w:p>
    <w:p>
      <w:pPr>
        <w:pStyle w:val="0"/>
        <w:spacing w:before="200" w:lineRule="auto"/>
        <w:ind w:firstLine="540"/>
        <w:jc w:val="both"/>
      </w:pPr>
      <w:r>
        <w:rPr>
          <w:sz w:val="20"/>
        </w:rPr>
        <w:t xml:space="preserve">5. Образовательные программы среднего профессионального образования самостоятельно разрабатываются и утверждаются образовательными организациями.</w:t>
      </w:r>
    </w:p>
    <w:p>
      <w:pPr>
        <w:pStyle w:val="0"/>
        <w:spacing w:before="200" w:lineRule="auto"/>
        <w:ind w:firstLine="540"/>
        <w:jc w:val="both"/>
      </w:pPr>
      <w:r>
        <w:rPr>
          <w:sz w:val="20"/>
        </w:rPr>
        <w:t xml:space="preserve">Образовательные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pPr>
        <w:pStyle w:val="0"/>
        <w:jc w:val="both"/>
      </w:pPr>
      <w:r>
        <w:rPr>
          <w:sz w:val="20"/>
        </w:rPr>
      </w:r>
    </w:p>
    <w:p>
      <w:pPr>
        <w:pStyle w:val="0"/>
        <w:ind w:firstLine="540"/>
        <w:jc w:val="both"/>
      </w:pPr>
      <w:r>
        <w:rPr>
          <w:sz w:val="20"/>
        </w:rPr>
        <w:t xml:space="preserve">Образовательные программы среднего профессионального образования, реализуемые на базе основного общего образования, разрабатываются образовательными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68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разрабатываются образовательными организациями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 разработанных организацией, определяемой Министерством просвещения Российской Федерации из числа подведомственных ему организаций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0"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0"/>
            <w:color w:val="0000ff"/>
          </w:rPr>
          <w:t xml:space="preserve">Пункт 4</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 действующего до 1 января 2026 г.</w:t>
      </w:r>
    </w:p>
    <w:p>
      <w:pPr>
        <w:pStyle w:val="0"/>
        <w:jc w:val="both"/>
      </w:pPr>
      <w:r>
        <w:rPr>
          <w:sz w:val="20"/>
        </w:rPr>
      </w:r>
    </w:p>
    <w:p>
      <w:pPr>
        <w:pStyle w:val="0"/>
        <w:ind w:firstLine="540"/>
        <w:jc w:val="both"/>
      </w:pPr>
      <w:r>
        <w:rPr>
          <w:sz w:val="20"/>
        </w:rPr>
        <w:t xml:space="preserve">6.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pPr>
        <w:pStyle w:val="0"/>
        <w:spacing w:before="200" w:lineRule="auto"/>
        <w:ind w:firstLine="540"/>
        <w:jc w:val="both"/>
      </w:pPr>
      <w:r>
        <w:rPr>
          <w:sz w:val="20"/>
        </w:rPr>
        <w:t xml:space="preserve">7. 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9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Оценочные материалы для государственной итоговой аттестации в форме демонстрационного экзамена разрабатываются и доводятся до сведения участников отношений в сфере образования в соответствии с порядком проведения государственной итоговой аттестации по образовательным программам среднего профессионального образования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Пункты 19</w:t>
        </w:r>
      </w:hyperlink>
      <w:r>
        <w:rPr>
          <w:sz w:val="20"/>
        </w:rPr>
        <w:t xml:space="preserve"> - </w:t>
      </w:r>
      <w:hyperlink w:history="0" r:id="rId2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21</w:t>
        </w:r>
      </w:hyperlink>
      <w:r>
        <w:rPr>
          <w:sz w:val="20"/>
        </w:rPr>
        <w:t xml:space="preserve">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Российской Федерации от 8 ноября 2021 г. N 800 (зарегистрирован Министерством юстиции Российской Федерации 7 декабря 2021 г., регистрационный N 66211), с изменениями, внесенными приказом Министерства просвещения Российской Федерации от 5 мая 2022 г. N 311 (зарегистрирован Министерством юстиции Российской Федерации 27 мая 2022 г., регистрационный N 68606), действующего до 1 сентября 2028 г.</w:t>
      </w:r>
    </w:p>
    <w:p>
      <w:pPr>
        <w:pStyle w:val="0"/>
        <w:jc w:val="both"/>
      </w:pPr>
      <w:r>
        <w:rPr>
          <w:sz w:val="20"/>
        </w:rPr>
      </w:r>
    </w:p>
    <w:p>
      <w:pPr>
        <w:pStyle w:val="0"/>
        <w:ind w:firstLine="540"/>
        <w:jc w:val="both"/>
      </w:pPr>
      <w:r>
        <w:rPr>
          <w:sz w:val="20"/>
        </w:rPr>
        <w:t xml:space="preserve">8. Формы получения образования и формы обучения по образовательным программам среднего профессионального образования определяются соответствующими федеральными государственными образовательными стандартами среднего профессионального образования.</w:t>
      </w:r>
    </w:p>
    <w:p>
      <w:pPr>
        <w:pStyle w:val="0"/>
        <w:spacing w:before="200" w:lineRule="auto"/>
        <w:ind w:firstLine="540"/>
        <w:jc w:val="both"/>
      </w:pPr>
      <w:r>
        <w:rPr>
          <w:sz w:val="20"/>
        </w:rPr>
        <w:t xml:space="preserve">9.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10. Допускается сочетание различных форм получения образования и форм обучения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11.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федеральным государственным образовательным стандартом среднего профессионального образования по соответствующей профессии, специальности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7"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 Утратил силу или отменен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2012, N 12, ст. 1871).</w:t>
      </w:r>
    </w:p>
    <w:p>
      <w:pPr>
        <w:pStyle w:val="0"/>
        <w:jc w:val="both"/>
      </w:pPr>
      <w:r>
        <w:rPr>
          <w:sz w:val="20"/>
        </w:rPr>
      </w:r>
    </w:p>
    <w:p>
      <w:pPr>
        <w:pStyle w:val="0"/>
        <w:ind w:firstLine="540"/>
        <w:jc w:val="both"/>
      </w:pPr>
      <w:r>
        <w:rPr>
          <w:sz w:val="20"/>
        </w:rPr>
        <w:t xml:space="preserve">12.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13.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14.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15.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9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Освоение образовательной программы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17. Образовательные программы среднего профессионального образования, за исключением 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ежегодно обновляются образовательными организациями с учетом развития науки, техники, культуры, экономики, технологий и социальной сферы.</w:t>
      </w:r>
    </w:p>
    <w:p>
      <w:pPr>
        <w:pStyle w:val="0"/>
        <w:spacing w:before="200" w:lineRule="auto"/>
        <w:ind w:firstLine="540"/>
        <w:jc w:val="both"/>
      </w:pPr>
      <w:r>
        <w:rPr>
          <w:sz w:val="20"/>
        </w:rPr>
        <w:t xml:space="preserve">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 обновляются образовательной организацией по мере необходимости.</w:t>
      </w:r>
    </w:p>
    <w:p>
      <w:pPr>
        <w:pStyle w:val="0"/>
        <w:jc w:val="both"/>
      </w:pPr>
      <w:r>
        <w:rPr>
          <w:sz w:val="20"/>
        </w:rPr>
        <w:t xml:space="preserve">(п. 17 в ред. </w:t>
      </w:r>
      <w:hyperlink w:history="0" r:id="rId33" w:tooltip="Приказ Минпросвещения России от 20.12.2022 N 1152 &quot;О внесении изменения в пункт 17 Порядка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Министерства просвещения Российской Федерации от 24 августа 2022 г. N 762&quot; (Зарегистрировано в Минюсте России 30.12.2022 N 71931) {КонсультантПлюс}">
        <w:r>
          <w:rPr>
            <w:sz w:val="20"/>
            <w:color w:val="0000ff"/>
          </w:rPr>
          <w:t xml:space="preserve">Приказа</w:t>
        </w:r>
      </w:hyperlink>
      <w:r>
        <w:rPr>
          <w:sz w:val="20"/>
        </w:rPr>
        <w:t xml:space="preserve"> Минпросвещения России от 20.12.2022 N 1152)</w:t>
      </w:r>
    </w:p>
    <w:p>
      <w:pPr>
        <w:pStyle w:val="0"/>
        <w:spacing w:before="200" w:lineRule="auto"/>
        <w:ind w:firstLine="540"/>
        <w:jc w:val="both"/>
      </w:pPr>
      <w:r>
        <w:rPr>
          <w:sz w:val="20"/>
        </w:rPr>
        <w:t xml:space="preserve">18. В образовательных организациях образовательная деятельность осуществляется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
    <w:p>
      <w:pPr>
        <w:pStyle w:val="0"/>
        <w:spacing w:before="200" w:lineRule="auto"/>
        <w:ind w:firstLine="540"/>
        <w:jc w:val="both"/>
      </w:pPr>
      <w:r>
        <w:rPr>
          <w:sz w:val="20"/>
        </w:rPr>
        <w:t xml:space="preserve">20.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pPr>
        <w:pStyle w:val="0"/>
        <w:spacing w:before="200" w:lineRule="auto"/>
        <w:ind w:firstLine="540"/>
        <w:jc w:val="both"/>
      </w:pPr>
      <w:r>
        <w:rPr>
          <w:sz w:val="20"/>
        </w:rPr>
        <w:t xml:space="preserve">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pPr>
        <w:pStyle w:val="0"/>
        <w:spacing w:before="200" w:lineRule="auto"/>
        <w:ind w:firstLine="540"/>
        <w:jc w:val="both"/>
      </w:pPr>
      <w:r>
        <w:rPr>
          <w:sz w:val="20"/>
        </w:rPr>
        <w:t xml:space="preserve">21.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3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68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22. 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w:t>
      </w:r>
      <w:hyperlink w:history="0" r:id="rId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для лиц, получающих среднее профессиональное образование впервые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8.1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29, ст. 5267).</w:t>
      </w:r>
    </w:p>
    <w:p>
      <w:pPr>
        <w:pStyle w:val="0"/>
        <w:jc w:val="both"/>
      </w:pPr>
      <w:r>
        <w:rPr>
          <w:sz w:val="20"/>
        </w:rPr>
      </w:r>
    </w:p>
    <w:p>
      <w:pPr>
        <w:pStyle w:val="0"/>
        <w:ind w:firstLine="540"/>
        <w:jc w:val="both"/>
      </w:pPr>
      <w:r>
        <w:rPr>
          <w:sz w:val="20"/>
        </w:rPr>
        <w:t xml:space="preserve">23.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pPr>
        <w:pStyle w:val="0"/>
        <w:spacing w:before="200" w:lineRule="auto"/>
        <w:ind w:firstLine="540"/>
        <w:jc w:val="both"/>
      </w:pPr>
      <w:r>
        <w:rPr>
          <w:sz w:val="20"/>
        </w:rPr>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перечнем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p>
      <w:pPr>
        <w:pStyle w:val="0"/>
        <w:spacing w:before="200" w:lineRule="auto"/>
        <w:ind w:firstLine="540"/>
        <w:jc w:val="both"/>
      </w:pPr>
      <w:r>
        <w:rPr>
          <w:sz w:val="20"/>
        </w:rPr>
        <w:t xml:space="preserve">24.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pPr>
        <w:pStyle w:val="0"/>
        <w:spacing w:before="200" w:lineRule="auto"/>
        <w:ind w:firstLine="540"/>
        <w:jc w:val="both"/>
      </w:pPr>
      <w:r>
        <w:rPr>
          <w:sz w:val="20"/>
        </w:rPr>
        <w:t xml:space="preserve">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3 части 1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25. Учебный год в образовательных организациях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pPr>
        <w:pStyle w:val="0"/>
        <w:spacing w:before="200" w:lineRule="auto"/>
        <w:ind w:firstLine="540"/>
        <w:jc w:val="both"/>
      </w:pPr>
      <w:r>
        <w:rPr>
          <w:sz w:val="20"/>
        </w:rPr>
        <w:t xml:space="preserve">26. В процессе освоения образовательных программ среднего профессионального образования обучающимся предоставляются каникулы.</w:t>
      </w:r>
    </w:p>
    <w:p>
      <w:pPr>
        <w:pStyle w:val="0"/>
        <w:spacing w:before="200" w:lineRule="auto"/>
        <w:ind w:firstLine="540"/>
        <w:jc w:val="both"/>
      </w:pPr>
      <w:r>
        <w:rPr>
          <w:sz w:val="20"/>
        </w:rPr>
        <w:t xml:space="preserve">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p>
      <w:pPr>
        <w:pStyle w:val="0"/>
        <w:spacing w:before="200" w:lineRule="auto"/>
        <w:ind w:firstLine="540"/>
        <w:jc w:val="both"/>
      </w:pPr>
      <w:r>
        <w:rPr>
          <w:sz w:val="20"/>
        </w:rPr>
        <w:t xml:space="preserve">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
    <w:p>
      <w:pPr>
        <w:pStyle w:val="0"/>
        <w:spacing w:before="200" w:lineRule="auto"/>
        <w:ind w:firstLine="540"/>
        <w:jc w:val="both"/>
      </w:pPr>
      <w:r>
        <w:rPr>
          <w:sz w:val="20"/>
        </w:rPr>
        <w:t xml:space="preserve">27. Объем образовательной программы среднего профессионального образования включает все виды учебной деятельности и устанавливается федеральным государственным образовательным стандартом среднего профессионального образования.</w:t>
      </w:r>
    </w:p>
    <w:p>
      <w:pPr>
        <w:pStyle w:val="0"/>
        <w:spacing w:before="200" w:lineRule="auto"/>
        <w:ind w:firstLine="540"/>
        <w:jc w:val="both"/>
      </w:pPr>
      <w:r>
        <w:rPr>
          <w:sz w:val="20"/>
        </w:rPr>
        <w:t xml:space="preserve">28.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p>
      <w:pPr>
        <w:pStyle w:val="0"/>
        <w:spacing w:before="200" w:lineRule="auto"/>
        <w:ind w:firstLine="540"/>
        <w:jc w:val="both"/>
      </w:pPr>
      <w:r>
        <w:rPr>
          <w:sz w:val="20"/>
        </w:rPr>
        <w:t xml:space="preserve">Для всех видов учебных занятий академический час устанавливается продолжительностью 45 минут.</w:t>
      </w:r>
    </w:p>
    <w:p>
      <w:pPr>
        <w:pStyle w:val="0"/>
        <w:spacing w:before="200" w:lineRule="auto"/>
        <w:ind w:firstLine="540"/>
        <w:jc w:val="both"/>
      </w:pPr>
      <w:r>
        <w:rPr>
          <w:sz w:val="20"/>
        </w:rPr>
        <w:t xml:space="preserve">Объем учебных занятий и практики не должен превышать 36 академических часов в неделю.</w:t>
      </w:r>
    </w:p>
    <w:p>
      <w:pPr>
        <w:pStyle w:val="0"/>
        <w:spacing w:before="200" w:lineRule="auto"/>
        <w:ind w:firstLine="540"/>
        <w:jc w:val="both"/>
      </w:pPr>
      <w:r>
        <w:rPr>
          <w:sz w:val="20"/>
        </w:rPr>
        <w:t xml:space="preserve">29. 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&lt;21&gt;. Исходя из специфики образовательной организации учебные занятия и практика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 Образовательная организация вправе объединять группы обучающихся при проведении учебных занятий в виде лекций.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Санитарные правила и нормы </w:t>
      </w:r>
      <w:hyperlink w:history="0" r:id="rId4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от 29 января 2021 г., регистрационный N 62296), действующие до 1 марта 2027 г.</w:t>
      </w:r>
    </w:p>
    <w:p>
      <w:pPr>
        <w:pStyle w:val="0"/>
        <w:jc w:val="both"/>
      </w:pPr>
      <w:r>
        <w:rPr>
          <w:sz w:val="20"/>
        </w:rPr>
      </w:r>
    </w:p>
    <w:p>
      <w:pPr>
        <w:pStyle w:val="0"/>
        <w:ind w:firstLine="540"/>
        <w:jc w:val="both"/>
      </w:pPr>
      <w:r>
        <w:rPr>
          <w:sz w:val="20"/>
        </w:rPr>
        <w:t xml:space="preserve">30.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58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31. Образовательная организация самостоятельно устанавливает систему оценок при промежуточной аттестации.</w:t>
      </w:r>
    </w:p>
    <w:p>
      <w:pPr>
        <w:pStyle w:val="0"/>
        <w:spacing w:before="200" w:lineRule="auto"/>
        <w:ind w:firstLine="540"/>
        <w:jc w:val="both"/>
      </w:pPr>
      <w:r>
        <w:rPr>
          <w:sz w:val="20"/>
        </w:rPr>
        <w:t xml:space="preserve">32.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p>
    <w:p>
      <w:pPr>
        <w:pStyle w:val="0"/>
        <w:spacing w:before="200" w:lineRule="auto"/>
        <w:ind w:firstLine="540"/>
        <w:jc w:val="both"/>
      </w:pPr>
      <w:r>
        <w:rPr>
          <w:sz w:val="20"/>
        </w:rPr>
        <w:t xml:space="preserve">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pPr>
        <w:pStyle w:val="0"/>
        <w:spacing w:before="200" w:lineRule="auto"/>
        <w:ind w:firstLine="540"/>
        <w:jc w:val="both"/>
      </w:pPr>
      <w:r>
        <w:rPr>
          <w:sz w:val="20"/>
        </w:rPr>
        <w:t xml:space="preserve">33. Освоение образовательных программ среднего профессионального образования завершается итоговой аттестацией, которая является обязательной.</w:t>
      </w:r>
    </w:p>
    <w:p>
      <w:pPr>
        <w:pStyle w:val="0"/>
        <w:spacing w:before="200" w:lineRule="auto"/>
        <w:ind w:firstLine="540"/>
        <w:jc w:val="both"/>
      </w:pPr>
      <w:r>
        <w:rPr>
          <w:sz w:val="20"/>
        </w:rPr>
        <w:t xml:space="preserve">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
    <w:p>
      <w:pPr>
        <w:pStyle w:val="0"/>
        <w:spacing w:before="200" w:lineRule="auto"/>
        <w:ind w:firstLine="540"/>
        <w:jc w:val="both"/>
      </w:pPr>
      <w:r>
        <w:rPr>
          <w:sz w:val="20"/>
        </w:rPr>
        <w:t xml:space="preserve">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pPr>
        <w:pStyle w:val="0"/>
        <w:spacing w:before="200" w:lineRule="auto"/>
        <w:ind w:firstLine="540"/>
        <w:jc w:val="both"/>
      </w:pPr>
      <w:r>
        <w:rPr>
          <w:sz w:val="20"/>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34.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68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35. 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36.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по профессии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квалификационного экзамена.</w:t>
      </w:r>
    </w:p>
    <w:p>
      <w:pPr>
        <w:pStyle w:val="0"/>
        <w:spacing w:before="200" w:lineRule="auto"/>
        <w:ind w:firstLine="540"/>
        <w:jc w:val="both"/>
      </w:pPr>
      <w:r>
        <w:rPr>
          <w:sz w:val="20"/>
        </w:rPr>
        <w:t xml:space="preserve">37.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pPr>
        <w:pStyle w:val="0"/>
        <w:spacing w:before="200" w:lineRule="auto"/>
        <w:ind w:firstLine="540"/>
        <w:jc w:val="both"/>
      </w:pPr>
      <w:r>
        <w:rPr>
          <w:sz w:val="20"/>
        </w:rPr>
        <w:t xml:space="preserve">38. 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17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III. Особенности организации образовательной деятельности</w:t>
      </w:r>
    </w:p>
    <w:p>
      <w:pPr>
        <w:pStyle w:val="2"/>
        <w:jc w:val="center"/>
      </w:pPr>
      <w:r>
        <w:rPr>
          <w:sz w:val="20"/>
        </w:rPr>
        <w:t xml:space="preserve">для лиц с ограниченными возможностями здоровья</w:t>
      </w:r>
    </w:p>
    <w:p>
      <w:pPr>
        <w:pStyle w:val="0"/>
        <w:jc w:val="both"/>
      </w:pPr>
      <w:r>
        <w:rPr>
          <w:sz w:val="20"/>
        </w:rPr>
      </w:r>
    </w:p>
    <w:p>
      <w:pPr>
        <w:pStyle w:val="0"/>
        <w:ind w:firstLine="540"/>
        <w:jc w:val="both"/>
      </w:pPr>
      <w:r>
        <w:rPr>
          <w:sz w:val="20"/>
        </w:rPr>
        <w:t xml:space="preserve">39.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40. 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pPr>
        <w:pStyle w:val="0"/>
        <w:spacing w:before="200" w:lineRule="auto"/>
        <w:ind w:firstLine="540"/>
        <w:jc w:val="both"/>
      </w:pPr>
      <w:r>
        <w:rPr>
          <w:sz w:val="20"/>
        </w:rPr>
        <w:t xml:space="preserve">41.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10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jc w:val="both"/>
      </w:pPr>
      <w:r>
        <w:rPr>
          <w:sz w:val="20"/>
        </w:rPr>
      </w:r>
    </w:p>
    <w:p>
      <w:pPr>
        <w:pStyle w:val="0"/>
        <w:ind w:firstLine="540"/>
        <w:jc w:val="both"/>
      </w:pPr>
      <w:r>
        <w:rPr>
          <w:sz w:val="20"/>
        </w:rPr>
        <w:t xml:space="preserve">42. 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
    <w:p>
      <w:pPr>
        <w:pStyle w:val="0"/>
        <w:spacing w:before="200" w:lineRule="auto"/>
        <w:ind w:firstLine="540"/>
        <w:jc w:val="both"/>
      </w:pPr>
      <w:r>
        <w:rPr>
          <w:sz w:val="20"/>
        </w:rPr>
        <w:t xml:space="preserve">1) для обучающихся с ограниченными возможностями здоровья по зрению:</w:t>
      </w:r>
    </w:p>
    <w:p>
      <w:pPr>
        <w:pStyle w:val="0"/>
        <w:spacing w:before="200" w:lineRule="auto"/>
        <w:ind w:firstLine="540"/>
        <w:jc w:val="both"/>
      </w:pPr>
      <w:r>
        <w:rPr>
          <w:sz w:val="20"/>
        </w:rPr>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pPr>
        <w:pStyle w:val="0"/>
        <w:spacing w:before="200" w:lineRule="auto"/>
        <w:ind w:firstLine="540"/>
        <w:jc w:val="both"/>
      </w:pPr>
      <w:r>
        <w:rPr>
          <w:sz w:val="20"/>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pPr>
        <w:pStyle w:val="0"/>
        <w:spacing w:before="200" w:lineRule="auto"/>
        <w:ind w:firstLine="540"/>
        <w:jc w:val="both"/>
      </w:pPr>
      <w:r>
        <w:rPr>
          <w:sz w:val="20"/>
        </w:rPr>
        <w:t xml:space="preserve">присутствие ассистента, оказывающего обучающемуся необходимую помощь;</w:t>
      </w:r>
    </w:p>
    <w:p>
      <w:pPr>
        <w:pStyle w:val="0"/>
        <w:spacing w:before="200" w:lineRule="auto"/>
        <w:ind w:firstLine="540"/>
        <w:jc w:val="both"/>
      </w:pPr>
      <w:r>
        <w:rPr>
          <w:sz w:val="20"/>
        </w:rPr>
        <w:t xml:space="preserve">обеспечение выпуска альтернативных форматов печатных материалов (крупный шрифт или аудиофайлы);</w:t>
      </w:r>
    </w:p>
    <w:p>
      <w:pPr>
        <w:pStyle w:val="0"/>
        <w:spacing w:before="200" w:lineRule="auto"/>
        <w:ind w:firstLine="540"/>
        <w:jc w:val="both"/>
      </w:pPr>
      <w:r>
        <w:rPr>
          <w:sz w:val="20"/>
        </w:rPr>
        <w:t xml:space="preserve">обеспечение доступа обучающегося, 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p>
      <w:pPr>
        <w:pStyle w:val="0"/>
        <w:spacing w:before="200" w:lineRule="auto"/>
        <w:ind w:firstLine="540"/>
        <w:jc w:val="both"/>
      </w:pPr>
      <w:r>
        <w:rPr>
          <w:sz w:val="20"/>
        </w:rPr>
        <w:t xml:space="preserve">2) для обучающихся с ограниченными возможностями здоровья по слуху:</w:t>
      </w:r>
    </w:p>
    <w:p>
      <w:pPr>
        <w:pStyle w:val="0"/>
        <w:spacing w:before="200" w:lineRule="auto"/>
        <w:ind w:firstLine="540"/>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spacing w:before="200" w:lineRule="auto"/>
        <w:ind w:firstLine="540"/>
        <w:jc w:val="both"/>
      </w:pPr>
      <w:r>
        <w:rPr>
          <w:sz w:val="20"/>
        </w:rPr>
        <w:t xml:space="preserve">обеспечение надлежащими звуковыми средствами воспроизведения информации;</w:t>
      </w:r>
    </w:p>
    <w:p>
      <w:pPr>
        <w:pStyle w:val="0"/>
        <w:spacing w:before="200" w:lineRule="auto"/>
        <w:ind w:firstLine="540"/>
        <w:jc w:val="both"/>
      </w:pPr>
      <w:r>
        <w:rPr>
          <w:sz w:val="20"/>
        </w:rPr>
        <w:t xml:space="preserve">3) для обучающихся,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pPr>
        <w:pStyle w:val="0"/>
        <w:spacing w:before="200" w:lineRule="auto"/>
        <w:ind w:firstLine="540"/>
        <w:jc w:val="both"/>
      </w:pPr>
      <w:r>
        <w:rPr>
          <w:sz w:val="20"/>
        </w:rPr>
        <w:t xml:space="preserve">43.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Численность обучающихся с ограниченными возможностями здоровья в учебной группе устанавливается до 15 человек.</w:t>
      </w:r>
    </w:p>
    <w:p>
      <w:pPr>
        <w:pStyle w:val="0"/>
        <w:spacing w:before="200" w:lineRule="auto"/>
        <w:ind w:firstLine="540"/>
        <w:jc w:val="both"/>
      </w:pPr>
      <w:r>
        <w:rPr>
          <w:sz w:val="20"/>
        </w:rPr>
        <w:t xml:space="preserve">44. 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5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24.08.2022 N 762</w:t>
            <w:br/>
            <w:t>(ред. от 20.12.2022)</w:t>
            <w:br/>
            <w:t>"Об утверждении Порядка организации и осуществлени...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6514&amp;dst=100006" TargetMode = "External"/><Relationship Id="rId9" Type="http://schemas.openxmlformats.org/officeDocument/2006/relationships/hyperlink" Target="https://login.consultant.ru/link/?req=doc&amp;base=LAW&amp;n=510818&amp;dst=215" TargetMode = "External"/><Relationship Id="rId10" Type="http://schemas.openxmlformats.org/officeDocument/2006/relationships/hyperlink" Target="https://login.consultant.ru/link/?req=doc&amp;base=LAW&amp;n=499281&amp;dst=100015" TargetMode = "External"/><Relationship Id="rId11" Type="http://schemas.openxmlformats.org/officeDocument/2006/relationships/hyperlink" Target="https://login.consultant.ru/link/?req=doc&amp;base=LAW&amp;n=499281&amp;dst=100026" TargetMode = "External"/><Relationship Id="rId12" Type="http://schemas.openxmlformats.org/officeDocument/2006/relationships/hyperlink" Target="https://login.consultant.ru/link/?req=doc&amp;base=LAW&amp;n=362127" TargetMode = "External"/><Relationship Id="rId13" Type="http://schemas.openxmlformats.org/officeDocument/2006/relationships/hyperlink" Target="https://login.consultant.ru/link/?req=doc&amp;base=LAW&amp;n=160175" TargetMode = "External"/><Relationship Id="rId14" Type="http://schemas.openxmlformats.org/officeDocument/2006/relationships/hyperlink" Target="https://login.consultant.ru/link/?req=doc&amp;base=LAW&amp;n=174091" TargetMode = "External"/><Relationship Id="rId15" Type="http://schemas.openxmlformats.org/officeDocument/2006/relationships/hyperlink" Target="https://login.consultant.ru/link/?req=doc&amp;base=LAW&amp;n=362044" TargetMode = "External"/><Relationship Id="rId16" Type="http://schemas.openxmlformats.org/officeDocument/2006/relationships/hyperlink" Target="https://login.consultant.ru/link/?req=doc&amp;base=LAW&amp;n=436514&amp;dst=100006" TargetMode = "External"/><Relationship Id="rId17" Type="http://schemas.openxmlformats.org/officeDocument/2006/relationships/hyperlink" Target="https://login.consultant.ru/link/?req=doc&amp;base=LAW&amp;n=510818&amp;dst=261" TargetMode = "External"/><Relationship Id="rId18" Type="http://schemas.openxmlformats.org/officeDocument/2006/relationships/hyperlink" Target="https://login.consultant.ru/link/?req=doc&amp;base=LAW&amp;n=510818&amp;dst=552" TargetMode = "External"/><Relationship Id="rId19" Type="http://schemas.openxmlformats.org/officeDocument/2006/relationships/hyperlink" Target="https://login.consultant.ru/link/?req=doc&amp;base=LAW&amp;n=510818&amp;dst=100909" TargetMode = "External"/><Relationship Id="rId20" Type="http://schemas.openxmlformats.org/officeDocument/2006/relationships/hyperlink" Target="https://login.consultant.ru/link/?req=doc&amp;base=LAW&amp;n=411930&amp;dst=100022" TargetMode = "External"/><Relationship Id="rId21" Type="http://schemas.openxmlformats.org/officeDocument/2006/relationships/hyperlink" Target="https://login.consultant.ru/link/?req=doc&amp;base=LAW&amp;n=510818&amp;dst=441" TargetMode = "External"/><Relationship Id="rId22" Type="http://schemas.openxmlformats.org/officeDocument/2006/relationships/hyperlink" Target="https://login.consultant.ru/link/?req=doc&amp;base=LAW&amp;n=491778&amp;dst=19" TargetMode = "External"/><Relationship Id="rId23" Type="http://schemas.openxmlformats.org/officeDocument/2006/relationships/hyperlink" Target="https://login.consultant.ru/link/?req=doc&amp;base=LAW&amp;n=491778&amp;dst=20" TargetMode = "External"/><Relationship Id="rId24" Type="http://schemas.openxmlformats.org/officeDocument/2006/relationships/hyperlink" Target="https://login.consultant.ru/link/?req=doc&amp;base=LAW&amp;n=510818&amp;dst=100276" TargetMode = "External"/><Relationship Id="rId25" Type="http://schemas.openxmlformats.org/officeDocument/2006/relationships/hyperlink" Target="https://login.consultant.ru/link/?req=doc&amp;base=LAW&amp;n=510818&amp;dst=100277" TargetMode = "External"/><Relationship Id="rId26" Type="http://schemas.openxmlformats.org/officeDocument/2006/relationships/hyperlink" Target="https://login.consultant.ru/link/?req=doc&amp;base=LAW&amp;n=510818&amp;dst=100207" TargetMode = "External"/><Relationship Id="rId27" Type="http://schemas.openxmlformats.org/officeDocument/2006/relationships/hyperlink" Target="https://login.consultant.ru/link/?req=doc&amp;base=LAW&amp;n=411930&amp;dst=100030" TargetMode = "External"/><Relationship Id="rId28" Type="http://schemas.openxmlformats.org/officeDocument/2006/relationships/hyperlink" Target="https://login.consultant.ru/link/?req=doc&amp;base=LAW&amp;n=510818&amp;dst=100238" TargetMode = "External"/><Relationship Id="rId29" Type="http://schemas.openxmlformats.org/officeDocument/2006/relationships/hyperlink" Target="https://login.consultant.ru/link/?req=doc&amp;base=LAW&amp;n=510818&amp;dst=100239" TargetMode = "External"/><Relationship Id="rId30" Type="http://schemas.openxmlformats.org/officeDocument/2006/relationships/hyperlink" Target="https://login.consultant.ru/link/?req=doc&amp;base=LAW&amp;n=510818&amp;dst=100240" TargetMode = "External"/><Relationship Id="rId31" Type="http://schemas.openxmlformats.org/officeDocument/2006/relationships/hyperlink" Target="https://login.consultant.ru/link/?req=doc&amp;base=LAW&amp;n=510818&amp;dst=100246" TargetMode = "External"/><Relationship Id="rId32" Type="http://schemas.openxmlformats.org/officeDocument/2006/relationships/hyperlink" Target="https://login.consultant.ru/link/?req=doc&amp;base=LAW&amp;n=510818&amp;dst=357" TargetMode = "External"/><Relationship Id="rId33" Type="http://schemas.openxmlformats.org/officeDocument/2006/relationships/hyperlink" Target="https://login.consultant.ru/link/?req=doc&amp;base=LAW&amp;n=436514&amp;dst=100006" TargetMode = "External"/><Relationship Id="rId34" Type="http://schemas.openxmlformats.org/officeDocument/2006/relationships/hyperlink" Target="https://login.consultant.ru/link/?req=doc&amp;base=LAW&amp;n=510818&amp;dst=100252" TargetMode = "External"/><Relationship Id="rId35" Type="http://schemas.openxmlformats.org/officeDocument/2006/relationships/hyperlink" Target="https://login.consultant.ru/link/?req=doc&amp;base=LAW&amp;n=510818&amp;dst=100254" TargetMode = "External"/><Relationship Id="rId36" Type="http://schemas.openxmlformats.org/officeDocument/2006/relationships/hyperlink" Target="https://login.consultant.ru/link/?req=doc&amp;base=LAW&amp;n=510818&amp;dst=100911" TargetMode = "External"/><Relationship Id="rId37" Type="http://schemas.openxmlformats.org/officeDocument/2006/relationships/hyperlink" Target="https://login.consultant.ru/link/?req=doc&amp;base=LAW&amp;n=510818&amp;dst=738" TargetMode = "External"/><Relationship Id="rId38" Type="http://schemas.openxmlformats.org/officeDocument/2006/relationships/hyperlink" Target="https://login.consultant.ru/link/?req=doc&amp;base=LAW&amp;n=510818&amp;dst=738" TargetMode = "External"/><Relationship Id="rId39" Type="http://schemas.openxmlformats.org/officeDocument/2006/relationships/hyperlink" Target="https://login.consultant.ru/link/?req=doc&amp;base=LAW&amp;n=510818&amp;dst=100480" TargetMode = "External"/><Relationship Id="rId40" Type="http://schemas.openxmlformats.org/officeDocument/2006/relationships/hyperlink" Target="https://login.consultant.ru/link/?req=doc&amp;base=LAW&amp;n=522971&amp;dst=100137" TargetMode = "External"/><Relationship Id="rId41" Type="http://schemas.openxmlformats.org/officeDocument/2006/relationships/hyperlink" Target="https://login.consultant.ru/link/?req=doc&amp;base=LAW&amp;n=510818&amp;dst=100786" TargetMode = "External"/><Relationship Id="rId42" Type="http://schemas.openxmlformats.org/officeDocument/2006/relationships/hyperlink" Target="https://login.consultant.ru/link/?req=doc&amp;base=LAW&amp;n=510818&amp;dst=100847" TargetMode = "External"/><Relationship Id="rId43" Type="http://schemas.openxmlformats.org/officeDocument/2006/relationships/hyperlink" Target="https://login.consultant.ru/link/?req=doc&amp;base=LAW&amp;n=510818&amp;dst=100912" TargetMode = "External"/><Relationship Id="rId44" Type="http://schemas.openxmlformats.org/officeDocument/2006/relationships/hyperlink" Target="https://login.consultant.ru/link/?req=doc&amp;base=LAW&amp;n=510818&amp;dst=100515" TargetMode = "External"/><Relationship Id="rId45" Type="http://schemas.openxmlformats.org/officeDocument/2006/relationships/hyperlink" Target="https://login.consultant.ru/link/?req=doc&amp;base=LAW&amp;n=510818&amp;dst=100823" TargetMode = "External"/><Relationship Id="rId46" Type="http://schemas.openxmlformats.org/officeDocument/2006/relationships/hyperlink" Target="https://login.consultant.ru/link/?req=doc&amp;base=LAW&amp;n=510818&amp;dst=101038" TargetMode = "External"/><Relationship Id="rId47" Type="http://schemas.openxmlformats.org/officeDocument/2006/relationships/hyperlink" Target="https://login.consultant.ru/link/?req=doc&amp;base=LAW&amp;n=510818&amp;dst=101045" TargetMode = "External"/><Relationship Id="rId48" Type="http://schemas.openxmlformats.org/officeDocument/2006/relationships/hyperlink" Target="https://login.consultant.ru/link/?req=doc&amp;base=LAW&amp;n=510818&amp;dst=101047" TargetMode = "External"/><Relationship Id="rId49" Type="http://schemas.openxmlformats.org/officeDocument/2006/relationships/hyperlink" Target="https://login.consultant.ru/link/?req=doc&amp;base=LAW&amp;n=510818&amp;dst=101040" TargetMode = "External"/><Relationship Id="rId50" Type="http://schemas.openxmlformats.org/officeDocument/2006/relationships/hyperlink" Target="https://login.consultant.ru/link/?req=doc&amp;base=LAW&amp;n=510818&amp;dst=101041" TargetMode = "External"/><Relationship Id="rId51" Type="http://schemas.openxmlformats.org/officeDocument/2006/relationships/hyperlink" Target="https://login.consultant.ru/link/?req=doc&amp;base=LAW&amp;n=510818&amp;dst=10104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dc:title>
  <dcterms:created xsi:type="dcterms:W3CDTF">2026-02-12T09:09:13Z</dcterms:created>
</cp:coreProperties>
</file>